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F9572C" w:rsidRDefault="00F92268" w:rsidP="00850792">
      <w:pPr>
        <w:pStyle w:val="BodyText"/>
        <w:rPr>
          <w:sz w:val="6"/>
          <w:szCs w:val="6"/>
        </w:rPr>
      </w:pPr>
      <w:r w:rsidRPr="00F9572C">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F9572C"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F9572C" w:rsidRDefault="00F92268" w:rsidP="00F246C7">
            <w:pPr>
              <w:pStyle w:val="RefTableData"/>
            </w:pPr>
            <w:r w:rsidRPr="00F9572C">
              <w:t>Reference number(s)</w:t>
            </w:r>
          </w:p>
        </w:tc>
      </w:tr>
      <w:tr w:rsidR="00F92268" w:rsidRPr="00F9572C"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29E33A78" w:rsidR="00F92268" w:rsidRPr="00F9572C" w:rsidRDefault="00AE74FC" w:rsidP="00F246C7">
            <w:pPr>
              <w:pStyle w:val="RefTableHeader"/>
            </w:pPr>
            <w:r w:rsidRPr="00F9572C">
              <w:t>6223-A</w:t>
            </w:r>
          </w:p>
        </w:tc>
      </w:tr>
    </w:tbl>
    <w:p w14:paraId="74FBA5B4" w14:textId="77777777" w:rsidR="00051356" w:rsidRPr="00F9572C" w:rsidRDefault="00051356" w:rsidP="00A672B3">
      <w:pPr>
        <w:pStyle w:val="BodyText"/>
        <w:rPr>
          <w:b/>
          <w:bCs/>
          <w:sz w:val="16"/>
          <w:szCs w:val="16"/>
        </w:rPr>
        <w:sectPr w:rsidR="00051356" w:rsidRPr="00F9572C" w:rsidSect="00DC623C">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3F4DE49F" w14:textId="5D90BC68" w:rsidR="004B15BB" w:rsidRPr="00F9572C" w:rsidRDefault="00AE74FC" w:rsidP="007E5C16">
      <w:pPr>
        <w:pStyle w:val="Heading1"/>
      </w:pPr>
      <w:r w:rsidRPr="00F9572C">
        <w:t>Specialty Guideline Management</w:t>
      </w:r>
      <w:r w:rsidRPr="00F9572C">
        <w:br/>
      </w:r>
      <w:proofErr w:type="spellStart"/>
      <w:r w:rsidRPr="00F9572C">
        <w:t>Zilbrysq</w:t>
      </w:r>
      <w:proofErr w:type="spellEnd"/>
    </w:p>
    <w:p w14:paraId="78861C92" w14:textId="1498BCF9" w:rsidR="00203468" w:rsidRPr="00F9572C" w:rsidRDefault="00C64534" w:rsidP="008E0F0D">
      <w:pPr>
        <w:pStyle w:val="Heading2"/>
      </w:pPr>
      <w:r w:rsidRPr="00F9572C">
        <w:t xml:space="preserve">Products Referenced by this </w:t>
      </w:r>
      <w:r w:rsidR="00501602" w:rsidRPr="00F9572C">
        <w:t>Document</w:t>
      </w:r>
    </w:p>
    <w:p w14:paraId="5455152B" w14:textId="4296521B" w:rsidR="008E0F0D" w:rsidRPr="00F9572C" w:rsidRDefault="00D82D85" w:rsidP="008B73E8">
      <w:pPr>
        <w:pStyle w:val="BodyText"/>
      </w:pPr>
      <w:r w:rsidRPr="00F9572C">
        <w:t xml:space="preserve">Drugs that are listed in the </w:t>
      </w:r>
      <w:r w:rsidR="000315F1" w:rsidRPr="00F9572C">
        <w:t>following table</w:t>
      </w:r>
      <w:r w:rsidRPr="00F9572C">
        <w:t xml:space="preserve"> include both brand and generic and all dosage forms and strengths unless otherwise stated. </w:t>
      </w:r>
      <w:r w:rsidR="00F83FE6" w:rsidRPr="00F83FE6">
        <w:t>Over-the-counter (OTC)</w:t>
      </w:r>
      <w:r w:rsidRPr="00F9572C">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252CE1" w:rsidRPr="00F9572C" w14:paraId="158421F8" w14:textId="77777777" w:rsidTr="000C5A6F">
        <w:trPr>
          <w:cantSplit/>
          <w:trHeight w:val="288"/>
          <w:tblHeader/>
        </w:trPr>
        <w:tc>
          <w:tcPr>
            <w:tcW w:w="5265" w:type="dxa"/>
            <w:vAlign w:val="center"/>
          </w:tcPr>
          <w:p w14:paraId="2A27354A" w14:textId="1390179E" w:rsidR="00252CE1" w:rsidRPr="00F9572C" w:rsidRDefault="00252CE1" w:rsidP="00AA1E6A">
            <w:pPr>
              <w:pStyle w:val="TableHeader"/>
            </w:pPr>
            <w:bookmarkStart w:id="0" w:name="_Hlk159603270"/>
            <w:r w:rsidRPr="00F9572C">
              <w:t>Brand Name</w:t>
            </w:r>
          </w:p>
        </w:tc>
        <w:tc>
          <w:tcPr>
            <w:tcW w:w="5595" w:type="dxa"/>
            <w:vAlign w:val="center"/>
          </w:tcPr>
          <w:p w14:paraId="3D342BE1" w14:textId="75F11EF1" w:rsidR="00252CE1" w:rsidRPr="00F9572C" w:rsidRDefault="00252CE1" w:rsidP="00AA1E6A">
            <w:pPr>
              <w:pStyle w:val="TableHeader"/>
            </w:pPr>
            <w:r w:rsidRPr="00F9572C">
              <w:t>Generic Name</w:t>
            </w:r>
          </w:p>
        </w:tc>
      </w:tr>
      <w:tr w:rsidR="00585FFF" w:rsidRPr="00F9572C" w14:paraId="2AD5C02D" w14:textId="77777777" w:rsidTr="000C5A6F">
        <w:trPr>
          <w:cantSplit/>
        </w:trPr>
        <w:tc>
          <w:tcPr>
            <w:tcW w:w="5265" w:type="dxa"/>
          </w:tcPr>
          <w:p w14:paraId="2D8FA8E3" w14:textId="4B0F8FEB" w:rsidR="00585FFF" w:rsidRPr="00F9572C" w:rsidRDefault="00AE74FC" w:rsidP="00E82ABA">
            <w:pPr>
              <w:pStyle w:val="TableDataUnpadded"/>
            </w:pPr>
            <w:proofErr w:type="spellStart"/>
            <w:r w:rsidRPr="00F9572C">
              <w:t>Zilbrysq</w:t>
            </w:r>
            <w:proofErr w:type="spellEnd"/>
          </w:p>
        </w:tc>
        <w:tc>
          <w:tcPr>
            <w:tcW w:w="5595" w:type="dxa"/>
          </w:tcPr>
          <w:p w14:paraId="7E26A004" w14:textId="41EE7CB9" w:rsidR="00585FFF" w:rsidRPr="00F9572C" w:rsidRDefault="00AE74FC" w:rsidP="00E82ABA">
            <w:pPr>
              <w:pStyle w:val="TableDataUnpadded"/>
            </w:pPr>
            <w:proofErr w:type="spellStart"/>
            <w:r w:rsidRPr="00F9572C">
              <w:t>zilucoplan</w:t>
            </w:r>
            <w:proofErr w:type="spellEnd"/>
          </w:p>
        </w:tc>
      </w:tr>
    </w:tbl>
    <w:bookmarkEnd w:id="0"/>
    <w:p w14:paraId="14CE6108" w14:textId="30F616BE" w:rsidR="00FC1AAD" w:rsidRPr="00F9572C" w:rsidRDefault="00ED052F" w:rsidP="00AA2A94">
      <w:pPr>
        <w:pStyle w:val="Heading2"/>
        <w:tabs>
          <w:tab w:val="left" w:pos="9540"/>
        </w:tabs>
      </w:pPr>
      <w:r w:rsidRPr="00F9572C">
        <w:t>Indications</w:t>
      </w:r>
    </w:p>
    <w:p w14:paraId="276B2B3E" w14:textId="799BAD3A" w:rsidR="00AE74FC" w:rsidRPr="00F9572C" w:rsidRDefault="00AE74FC" w:rsidP="00AE74FC">
      <w:pPr>
        <w:pStyle w:val="BodyText"/>
      </w:pPr>
      <w:r w:rsidRPr="00F9572C">
        <w:t>The indications below including FDA-approved indications and compendial uses are considered a covered benefit provided that all the approval criteria are met and the member has no exclusions to the prescribed therapy.</w:t>
      </w:r>
    </w:p>
    <w:p w14:paraId="134B5687" w14:textId="6BD339A2" w:rsidR="00ED052F" w:rsidRPr="00F9572C" w:rsidRDefault="00ED052F" w:rsidP="00ED052F">
      <w:pPr>
        <w:pStyle w:val="Heading3"/>
        <w:keepNext w:val="0"/>
      </w:pPr>
      <w:r w:rsidRPr="00F9572C">
        <w:t>FDA-approved Indications</w:t>
      </w:r>
      <w:r w:rsidR="00AE74FC" w:rsidRPr="00F9572C">
        <w:rPr>
          <w:vertAlign w:val="superscript"/>
        </w:rPr>
        <w:t>1</w:t>
      </w:r>
    </w:p>
    <w:p w14:paraId="73A0789F" w14:textId="3F60678F" w:rsidR="00AE74FC" w:rsidRPr="00F9572C" w:rsidRDefault="00AE74FC" w:rsidP="00AE74FC">
      <w:pPr>
        <w:pStyle w:val="BodyText"/>
      </w:pPr>
      <w:proofErr w:type="spellStart"/>
      <w:r w:rsidRPr="00F9572C">
        <w:t>Zilbrysq</w:t>
      </w:r>
      <w:proofErr w:type="spellEnd"/>
      <w:r w:rsidRPr="00F9572C">
        <w:t xml:space="preserve"> is indicated for the treatment of generalized myasthenia gravis (gMG) in adult patients who are anti-acetylcholine receptor (AChR) antibody positive.</w:t>
      </w:r>
    </w:p>
    <w:p w14:paraId="4C434745" w14:textId="6E406033" w:rsidR="00ED052F" w:rsidRPr="00F9572C" w:rsidRDefault="00AE74FC" w:rsidP="00AE74FC">
      <w:pPr>
        <w:pStyle w:val="BodyText"/>
      </w:pPr>
      <w:r w:rsidRPr="00F9572C">
        <w:t>All other indications are considered experimental/investigational and not medically necessary.</w:t>
      </w:r>
    </w:p>
    <w:p w14:paraId="36381B6D" w14:textId="5EEDDDEE" w:rsidR="000D2496" w:rsidRPr="00F9572C" w:rsidRDefault="000D2496" w:rsidP="000D2496">
      <w:pPr>
        <w:pStyle w:val="Heading2"/>
      </w:pPr>
      <w:r w:rsidRPr="00F9572C">
        <w:t>Documentation</w:t>
      </w:r>
    </w:p>
    <w:p w14:paraId="213A4937" w14:textId="550B3A13" w:rsidR="00AE74FC" w:rsidRPr="00F9572C" w:rsidRDefault="00AE74FC" w:rsidP="00B940B8">
      <w:pPr>
        <w:pStyle w:val="BodyText"/>
      </w:pPr>
      <w:r w:rsidRPr="00F9572C">
        <w:t>Submission of the following information is necessary to initiate the prior authorization review:</w:t>
      </w:r>
    </w:p>
    <w:p w14:paraId="24394BE4" w14:textId="00C75DEE" w:rsidR="00AE74FC" w:rsidRPr="00F9572C" w:rsidRDefault="00AE74FC" w:rsidP="00B940B8">
      <w:pPr>
        <w:pStyle w:val="ListParagraph"/>
        <w:numPr>
          <w:ilvl w:val="0"/>
          <w:numId w:val="30"/>
        </w:numPr>
      </w:pPr>
      <w:r w:rsidRPr="00F9572C">
        <w:t>For initial requests, chart notes, medical records, or claims history documenting:</w:t>
      </w:r>
    </w:p>
    <w:p w14:paraId="26EEB726" w14:textId="1BD8B1C0" w:rsidR="00AE74FC" w:rsidRPr="00F9572C" w:rsidRDefault="00AE74FC" w:rsidP="00B940B8">
      <w:pPr>
        <w:pStyle w:val="ListParagraph"/>
        <w:numPr>
          <w:ilvl w:val="1"/>
          <w:numId w:val="31"/>
        </w:numPr>
      </w:pPr>
      <w:r w:rsidRPr="00F9572C">
        <w:t>Positive anti-acetylcholine receptor (AChR) antibody test</w:t>
      </w:r>
    </w:p>
    <w:p w14:paraId="2DD2753F" w14:textId="77777777" w:rsidR="00FC78DB" w:rsidRPr="00FC78DB" w:rsidRDefault="00FC78DB" w:rsidP="00FC78DB">
      <w:pPr>
        <w:pStyle w:val="ListParagraph"/>
        <w:numPr>
          <w:ilvl w:val="1"/>
          <w:numId w:val="31"/>
        </w:numPr>
      </w:pPr>
      <w:r w:rsidRPr="00FC78DB">
        <w:t>Myasthenia Gravis Foundation of America (MGFA) clinical classification</w:t>
      </w:r>
    </w:p>
    <w:p w14:paraId="4FBC2BB3" w14:textId="4E706527" w:rsidR="00AE74FC" w:rsidRPr="00F9572C" w:rsidRDefault="00AE74FC" w:rsidP="00B940B8">
      <w:pPr>
        <w:pStyle w:val="ListParagraph"/>
        <w:numPr>
          <w:ilvl w:val="1"/>
          <w:numId w:val="31"/>
        </w:numPr>
      </w:pPr>
      <w:r w:rsidRPr="00F9572C">
        <w:t>MG activities of daily living score</w:t>
      </w:r>
    </w:p>
    <w:p w14:paraId="764084F7" w14:textId="49FAD721" w:rsidR="00AE74FC" w:rsidRPr="00F9572C" w:rsidRDefault="00AE74FC" w:rsidP="00B940B8">
      <w:pPr>
        <w:pStyle w:val="ListParagraph"/>
        <w:numPr>
          <w:ilvl w:val="1"/>
          <w:numId w:val="31"/>
        </w:numPr>
      </w:pPr>
      <w:r w:rsidRPr="00F9572C">
        <w:lastRenderedPageBreak/>
        <w:t>Previous medications tried, including response to therapy. If therapy is not advisable, documentation of clinical reasons to avoid therapy.</w:t>
      </w:r>
    </w:p>
    <w:p w14:paraId="2180ED6E" w14:textId="2439F769" w:rsidR="000D2496" w:rsidRPr="00F9572C" w:rsidRDefault="00AE74FC" w:rsidP="00B940B8">
      <w:pPr>
        <w:pStyle w:val="ListParagraph"/>
        <w:numPr>
          <w:ilvl w:val="0"/>
          <w:numId w:val="30"/>
        </w:numPr>
      </w:pPr>
      <w:r w:rsidRPr="00F9572C">
        <w:t>For continuation requests: Chart notes or medical record documentation supporting positive clinical response.</w:t>
      </w:r>
    </w:p>
    <w:p w14:paraId="65A12794" w14:textId="686767E8" w:rsidR="000D5101" w:rsidRPr="00F9572C" w:rsidRDefault="004715CD" w:rsidP="00E050E1">
      <w:pPr>
        <w:pStyle w:val="Heading2"/>
      </w:pPr>
      <w:r w:rsidRPr="00F9572C">
        <w:t>Exclusions</w:t>
      </w:r>
    </w:p>
    <w:p w14:paraId="79C47276" w14:textId="66B1CD61" w:rsidR="00C75C02" w:rsidRPr="00F9572C" w:rsidRDefault="00AE74FC" w:rsidP="00C75C02">
      <w:pPr>
        <w:pStyle w:val="BodyText"/>
      </w:pPr>
      <w:r w:rsidRPr="00F9572C">
        <w:t xml:space="preserve">The requested medication will not be used in combination with another complement inhibitor (e.g., Soliris, </w:t>
      </w:r>
      <w:proofErr w:type="spellStart"/>
      <w:r w:rsidRPr="00F9572C">
        <w:t>Ultomiris</w:t>
      </w:r>
      <w:proofErr w:type="spellEnd"/>
      <w:r w:rsidRPr="00F9572C">
        <w:t xml:space="preserve">) or neonatal Fc receptor blocker (e.g., Vyvgart, Vyvgart Hytrulo, </w:t>
      </w:r>
      <w:proofErr w:type="spellStart"/>
      <w:r w:rsidRPr="00F9572C">
        <w:t>Rystiggo</w:t>
      </w:r>
      <w:proofErr w:type="spellEnd"/>
      <w:r w:rsidRPr="00F9572C">
        <w:t>).</w:t>
      </w:r>
    </w:p>
    <w:p w14:paraId="50A38FBA" w14:textId="491FEA2C" w:rsidR="00FE0C63" w:rsidRPr="00F9572C" w:rsidRDefault="00685107" w:rsidP="00E050E1">
      <w:pPr>
        <w:pStyle w:val="Heading2"/>
      </w:pPr>
      <w:r w:rsidRPr="00F9572C">
        <w:t>Coverage Criteria</w:t>
      </w:r>
    </w:p>
    <w:p w14:paraId="66A26B49" w14:textId="1C3F0D8E" w:rsidR="00AE74FC" w:rsidRPr="00F9572C" w:rsidRDefault="00AE74FC" w:rsidP="00AE74FC">
      <w:pPr>
        <w:pStyle w:val="Heading3"/>
      </w:pPr>
      <w:r w:rsidRPr="00F9572C">
        <w:t>Generalized myasthenia gravis (gMG)</w:t>
      </w:r>
      <w:r w:rsidRPr="00F9572C">
        <w:rPr>
          <w:vertAlign w:val="superscript"/>
        </w:rPr>
        <w:t>1-</w:t>
      </w:r>
      <w:r w:rsidR="00547552">
        <w:rPr>
          <w:vertAlign w:val="superscript"/>
        </w:rPr>
        <w:t>4</w:t>
      </w:r>
    </w:p>
    <w:p w14:paraId="7FFAC561" w14:textId="39F7CB11" w:rsidR="00AE74FC" w:rsidRPr="00F9572C" w:rsidRDefault="00AE74FC" w:rsidP="00B940B8">
      <w:pPr>
        <w:pStyle w:val="BodyText"/>
      </w:pPr>
      <w:r w:rsidRPr="00F9572C">
        <w:t>Authorization of 6 months may be granted for the treatment of generalized myasthenia gravis (gMG) when all of the following criteria are met:</w:t>
      </w:r>
    </w:p>
    <w:p w14:paraId="52730FBA" w14:textId="723613C7" w:rsidR="00AE74FC" w:rsidRPr="00F9572C" w:rsidRDefault="00AE74FC" w:rsidP="00B940B8">
      <w:pPr>
        <w:pStyle w:val="ListParagraph"/>
        <w:numPr>
          <w:ilvl w:val="0"/>
          <w:numId w:val="33"/>
        </w:numPr>
      </w:pPr>
      <w:r w:rsidRPr="00F9572C">
        <w:rPr>
          <w:color w:val="auto"/>
        </w:rPr>
        <w:t>Anti</w:t>
      </w:r>
      <w:r w:rsidRPr="00F9572C">
        <w:t>-acetylcholine receptor (AChR) antibody positive</w:t>
      </w:r>
    </w:p>
    <w:p w14:paraId="232F2538" w14:textId="1FA1B9DF" w:rsidR="00AE74FC" w:rsidRPr="00F9572C" w:rsidRDefault="00AE74FC" w:rsidP="00B940B8">
      <w:pPr>
        <w:pStyle w:val="ListParagraph"/>
        <w:numPr>
          <w:ilvl w:val="0"/>
          <w:numId w:val="33"/>
        </w:numPr>
      </w:pPr>
      <w:r w:rsidRPr="00F9572C">
        <w:t>Myasthenia Gravis Foundation of America (MGFA) clinical classification II to IV</w:t>
      </w:r>
    </w:p>
    <w:p w14:paraId="62B3963B" w14:textId="1A646E2A" w:rsidR="00AE74FC" w:rsidRPr="00F9572C" w:rsidRDefault="00AE74FC" w:rsidP="00B940B8">
      <w:pPr>
        <w:pStyle w:val="ListParagraph"/>
        <w:numPr>
          <w:ilvl w:val="0"/>
          <w:numId w:val="33"/>
        </w:numPr>
      </w:pPr>
      <w:r w:rsidRPr="00F9572C">
        <w:t>MG activities of daily living (MG-ADL) total score of greater than or equal to 5</w:t>
      </w:r>
    </w:p>
    <w:p w14:paraId="1E973AD0" w14:textId="19E3060B" w:rsidR="00AE74FC" w:rsidRPr="00F9572C" w:rsidRDefault="00AE74FC" w:rsidP="00B940B8">
      <w:pPr>
        <w:pStyle w:val="ListParagraph"/>
        <w:numPr>
          <w:ilvl w:val="0"/>
          <w:numId w:val="33"/>
        </w:numPr>
      </w:pPr>
      <w:r w:rsidRPr="00F9572C">
        <w:t>Meets one of the following:</w:t>
      </w:r>
    </w:p>
    <w:p w14:paraId="2AB80E30" w14:textId="356BA418" w:rsidR="00AE74FC" w:rsidRPr="00F9572C" w:rsidRDefault="00AE74FC" w:rsidP="00B940B8">
      <w:pPr>
        <w:pStyle w:val="ListParagraph"/>
        <w:numPr>
          <w:ilvl w:val="1"/>
          <w:numId w:val="34"/>
        </w:numPr>
      </w:pPr>
      <w:r w:rsidRPr="00F9572C">
        <w:t>Member has had an inadequate response or intolerable adverse event to at least two immunosuppressive therapies over the course of at least 12 months (e.g., azathioprine, corticosteroids, cyclosporine, methotrexate, mycophenolate, tacrolimus)</w:t>
      </w:r>
    </w:p>
    <w:p w14:paraId="72050BFF" w14:textId="7D830D39" w:rsidR="00AE74FC" w:rsidRPr="00F9572C" w:rsidRDefault="00AE74FC" w:rsidP="00B940B8">
      <w:pPr>
        <w:pStyle w:val="ListParagraph"/>
        <w:numPr>
          <w:ilvl w:val="1"/>
          <w:numId w:val="34"/>
        </w:numPr>
      </w:pPr>
      <w:r w:rsidRPr="00F9572C">
        <w:t>Member has had an inadequate response or intolerable adverse event to at least one immunosuppressive therapy and intravenous immunoglobulin (IVIG) over the course of at least 12 months</w:t>
      </w:r>
    </w:p>
    <w:p w14:paraId="554B6E8F" w14:textId="279F421D" w:rsidR="00B836B0" w:rsidRPr="00F9572C" w:rsidRDefault="00AE74FC" w:rsidP="00B940B8">
      <w:pPr>
        <w:pStyle w:val="ListParagraph"/>
        <w:numPr>
          <w:ilvl w:val="1"/>
          <w:numId w:val="34"/>
        </w:numPr>
        <w:rPr>
          <w:color w:val="auto"/>
        </w:rPr>
      </w:pPr>
      <w:r w:rsidRPr="00F9572C">
        <w:t>Member has a documented clinical reason to avoid therapy with immunosuppressive agents and I</w:t>
      </w:r>
      <w:r w:rsidRPr="00F9572C">
        <w:rPr>
          <w:color w:val="auto"/>
        </w:rPr>
        <w:t>VIG</w:t>
      </w:r>
    </w:p>
    <w:p w14:paraId="3A643EC3" w14:textId="02519BB2" w:rsidR="00A501AC" w:rsidRPr="00F9572C" w:rsidRDefault="00A501AC" w:rsidP="00A501AC">
      <w:pPr>
        <w:pStyle w:val="Heading2"/>
      </w:pPr>
      <w:r w:rsidRPr="00F9572C">
        <w:t>Continuation of Therapy</w:t>
      </w:r>
    </w:p>
    <w:p w14:paraId="3ED94391" w14:textId="77777777" w:rsidR="00442BC5" w:rsidRPr="00F9572C" w:rsidRDefault="00AE74FC" w:rsidP="003D46B0">
      <w:pPr>
        <w:pStyle w:val="BodyText"/>
      </w:pPr>
      <w:r w:rsidRPr="00F9572C">
        <w:t>Authorization of 12 months may be granted for continued treatment in members requesting reauthorization when there is no evidence of unacceptable toxicity or disease progression while on the current regimen and member demonstrates a positive response to therapy (e.g., improvement in MG-ADL score, MG Manual Muscle Test (MMT), MG Composite).</w:t>
      </w:r>
    </w:p>
    <w:p w14:paraId="10DA4309" w14:textId="46941B54" w:rsidR="00FF66BF" w:rsidRPr="00F9572C" w:rsidRDefault="00FF66BF" w:rsidP="00FF66BF">
      <w:pPr>
        <w:pStyle w:val="Heading2"/>
      </w:pPr>
      <w:r w:rsidRPr="00F9572C">
        <w:lastRenderedPageBreak/>
        <w:t>References</w:t>
      </w:r>
    </w:p>
    <w:p w14:paraId="2CA470DC" w14:textId="0D817C2E" w:rsidR="00AE74FC" w:rsidRPr="00F9572C" w:rsidRDefault="00AE74FC" w:rsidP="00AE74FC">
      <w:pPr>
        <w:pStyle w:val="ReferenceOrdered"/>
      </w:pPr>
      <w:proofErr w:type="spellStart"/>
      <w:r w:rsidRPr="00F9572C">
        <w:t>Zilbrysq</w:t>
      </w:r>
      <w:proofErr w:type="spellEnd"/>
      <w:r w:rsidRPr="00F9572C">
        <w:t xml:space="preserve"> [package insert]. Smyrna, GA: UCB, Inc.; October 2023.</w:t>
      </w:r>
    </w:p>
    <w:p w14:paraId="3B8A7D44" w14:textId="3B859E45" w:rsidR="00AE74FC" w:rsidRPr="00F9572C" w:rsidRDefault="00AE74FC" w:rsidP="00AE74FC">
      <w:pPr>
        <w:pStyle w:val="ReferenceOrdered"/>
      </w:pPr>
      <w:r w:rsidRPr="00F9572C">
        <w:rPr>
          <w:lang w:val="nb-NO"/>
        </w:rPr>
        <w:t xml:space="preserve">Sanders D, Wolfe G, Benatar M et al. </w:t>
      </w:r>
      <w:r w:rsidRPr="00F9572C">
        <w:t>International consensus guidance for management of myasthenia gravis. Neurology. 2021; 96</w:t>
      </w:r>
      <w:r w:rsidRPr="00F9572C">
        <w:rPr>
          <w:rFonts w:ascii="Arial" w:hAnsi="Arial"/>
        </w:rPr>
        <w:t> </w:t>
      </w:r>
      <w:r w:rsidRPr="00F9572C">
        <w:t>(3)</w:t>
      </w:r>
      <w:r w:rsidRPr="00F9572C">
        <w:rPr>
          <w:rFonts w:ascii="Arial" w:hAnsi="Arial"/>
        </w:rPr>
        <w:t> </w:t>
      </w:r>
      <w:r w:rsidRPr="00F9572C">
        <w:t>114-122.</w:t>
      </w:r>
    </w:p>
    <w:p w14:paraId="4AF46F45" w14:textId="10158154" w:rsidR="00AE74FC" w:rsidRPr="00F9572C" w:rsidRDefault="00AE74FC" w:rsidP="00AE74FC">
      <w:pPr>
        <w:pStyle w:val="ReferenceOrdered"/>
      </w:pPr>
      <w:r w:rsidRPr="00F9572C">
        <w:t xml:space="preserve">Howard JF, et al. Safety and efficacy of </w:t>
      </w:r>
      <w:proofErr w:type="spellStart"/>
      <w:r w:rsidRPr="00F9572C">
        <w:t>zilucoplan</w:t>
      </w:r>
      <w:proofErr w:type="spellEnd"/>
      <w:r w:rsidRPr="00F9572C">
        <w:t xml:space="preserve"> in patients with </w:t>
      </w:r>
      <w:proofErr w:type="spellStart"/>
      <w:r w:rsidRPr="00F9572C">
        <w:t>generalised</w:t>
      </w:r>
      <w:proofErr w:type="spellEnd"/>
      <w:r w:rsidRPr="00F9572C">
        <w:t xml:space="preserve"> myasthenia gravis (RAISE): a </w:t>
      </w:r>
      <w:proofErr w:type="spellStart"/>
      <w:r w:rsidRPr="00F9572C">
        <w:t>randomised</w:t>
      </w:r>
      <w:proofErr w:type="spellEnd"/>
      <w:r w:rsidRPr="00F9572C">
        <w:t>, double-blind, placebo-controlled, phase 3 study. Lancet Neurol. 2023;22(5):395-406.</w:t>
      </w:r>
    </w:p>
    <w:p w14:paraId="1E5D948B" w14:textId="240F3933" w:rsidR="00AE74FC" w:rsidRPr="00F9572C" w:rsidRDefault="00AE74FC" w:rsidP="00AE74FC">
      <w:pPr>
        <w:pStyle w:val="ReferenceOrdered"/>
      </w:pPr>
      <w:r w:rsidRPr="00F9572C">
        <w:t xml:space="preserve">Barnett C, </w:t>
      </w:r>
      <w:proofErr w:type="spellStart"/>
      <w:r w:rsidRPr="00F9572C">
        <w:t>Herbelin</w:t>
      </w:r>
      <w:proofErr w:type="spellEnd"/>
      <w:r w:rsidRPr="00F9572C">
        <w:t xml:space="preserve"> L, </w:t>
      </w:r>
      <w:proofErr w:type="spellStart"/>
      <w:r w:rsidRPr="00F9572C">
        <w:t>Dimachkie</w:t>
      </w:r>
      <w:proofErr w:type="spellEnd"/>
      <w:r w:rsidRPr="00F9572C">
        <w:t xml:space="preserve"> MM, </w:t>
      </w:r>
      <w:proofErr w:type="spellStart"/>
      <w:r w:rsidRPr="00F9572C">
        <w:t>Barohn</w:t>
      </w:r>
      <w:proofErr w:type="spellEnd"/>
      <w:r w:rsidRPr="00F9572C">
        <w:t xml:space="preserve"> RJ. Measuring Clinical Treatment Response in Myasthenia Gravis. Neurol Clin. 2018 May;36(2):339-353.</w:t>
      </w:r>
    </w:p>
    <w:p w14:paraId="47E1A10C" w14:textId="25F99C39" w:rsidR="00C44990" w:rsidRPr="002407DF" w:rsidRDefault="00C44990" w:rsidP="002407DF">
      <w:pPr>
        <w:pStyle w:val="BodyText"/>
      </w:pPr>
    </w:p>
    <w:sectPr w:rsidR="00C44990" w:rsidRPr="002407DF" w:rsidSect="002407DF">
      <w:footerReference w:type="default" r:id="rId15"/>
      <w:headerReference w:type="first" r:id="rId16"/>
      <w:footerReference w:type="first" r:id="rId17"/>
      <w:type w:val="continuous"/>
      <w:pgSz w:w="12240" w:h="15840" w:code="1"/>
      <w:pgMar w:top="900" w:right="720" w:bottom="990" w:left="720" w:header="720" w:footer="807" w:gutter="0"/>
      <w:paperSrc w:first="15" w:other="15"/>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98D2D9" w14:textId="77777777" w:rsidR="00E12062" w:rsidRDefault="00E12062">
      <w:r>
        <w:separator/>
      </w:r>
    </w:p>
  </w:endnote>
  <w:endnote w:type="continuationSeparator" w:id="0">
    <w:p w14:paraId="6FD3A038" w14:textId="77777777" w:rsidR="00E12062" w:rsidRDefault="00E12062">
      <w:r>
        <w:continuationSeparator/>
      </w:r>
    </w:p>
  </w:endnote>
  <w:endnote w:type="continuationNotice" w:id="1">
    <w:p w14:paraId="05DE94FA" w14:textId="77777777" w:rsidR="00E12062" w:rsidRDefault="00E120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44DD434F"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9F48F4" w:rsidRPr="009F48F4">
      <w:rPr>
        <w:rFonts w:cs="Arial"/>
        <w:noProof/>
        <w:sz w:val="16"/>
        <w:szCs w:val="16"/>
      </w:rPr>
      <w:t>Zilbrysq</w:t>
    </w:r>
    <w:r w:rsidR="009F48F4">
      <w:rPr>
        <w:rFonts w:cs="Arial"/>
        <w:noProof/>
        <w:snapToGrid w:val="0"/>
        <w:color w:val="000000"/>
        <w:sz w:val="16"/>
        <w:szCs w:val="16"/>
      </w:rPr>
      <w:t xml:space="preserve"> 6223-A SGM</w:t>
    </w:r>
    <w:r w:rsidR="009F48F4" w:rsidRPr="009F48F4">
      <w:rPr>
        <w:rFonts w:cs="Arial"/>
        <w:noProof/>
        <w:sz w:val="16"/>
        <w:szCs w:val="16"/>
      </w:rPr>
      <w:t xml:space="preserve"> 2024.docx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319E2E2A"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91076D" w:rsidRPr="002407DF">
      <w:rPr>
        <w:rFonts w:cs="Arial"/>
        <w:noProof/>
        <w:sz w:val="16"/>
        <w:szCs w:val="16"/>
      </w:rPr>
      <w:t>Zilbrysq</w:t>
    </w:r>
    <w:r w:rsidR="0091076D">
      <w:rPr>
        <w:rFonts w:cs="Arial"/>
        <w:noProof/>
        <w:snapToGrid w:val="0"/>
        <w:color w:val="000000"/>
        <w:sz w:val="16"/>
        <w:szCs w:val="16"/>
      </w:rPr>
      <w:t xml:space="preserve"> SGM 6223-A</w:t>
    </w:r>
    <w:r w:rsidR="0091076D" w:rsidRPr="002407DF">
      <w:rPr>
        <w:rFonts w:cs="Arial"/>
        <w:noProof/>
        <w:sz w:val="16"/>
        <w:szCs w:val="16"/>
      </w:rPr>
      <w:t xml:space="preserve"> 2024</w:t>
    </w:r>
    <w:r w:rsidR="0091076D">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7F8CE427"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4F317B8" w14:textId="5444961C" w:rsidR="00ED04EC" w:rsidRPr="004E5A10" w:rsidRDefault="00F50D98" w:rsidP="002407DF">
    <w:pPr>
      <w:autoSpaceDE w:val="0"/>
      <w:autoSpaceDN w:val="0"/>
      <w:adjustRightInd w:val="0"/>
      <w:jc w:val="center"/>
      <w:rPr>
        <w:sz w:val="16"/>
        <w:szCs w:val="16"/>
      </w:rPr>
    </w:pPr>
    <w:r w:rsidRPr="004E5A10">
      <w:rPr>
        <w:rFonts w:cs="Arial"/>
        <w:sz w:val="16"/>
        <w:szCs w:val="16"/>
      </w:rPr>
      <w:fldChar w:fldCharType="begin"/>
    </w:r>
    <w:r w:rsidRPr="004E5A10">
      <w:rPr>
        <w:rFonts w:cs="Arial"/>
        <w:sz w:val="16"/>
        <w:szCs w:val="16"/>
      </w:rPr>
      <w:instrText xml:space="preserve"> PAGE </w:instrText>
    </w:r>
    <w:r w:rsidRPr="004E5A10">
      <w:rPr>
        <w:rFonts w:cs="Arial"/>
        <w:sz w:val="16"/>
        <w:szCs w:val="16"/>
      </w:rPr>
      <w:fldChar w:fldCharType="separate"/>
    </w:r>
    <w:r w:rsidRPr="004E5A10">
      <w:rPr>
        <w:rFonts w:cs="Arial"/>
        <w:sz w:val="16"/>
        <w:szCs w:val="16"/>
      </w:rPr>
      <w:t>2</w:t>
    </w:r>
    <w:r w:rsidRPr="004E5A10">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517EA5" w14:textId="2886309C" w:rsidR="00442BC5" w:rsidRPr="00EC47B6" w:rsidRDefault="00442BC5"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E83598" w:rsidRPr="002407DF">
      <w:rPr>
        <w:rFonts w:cs="Arial"/>
        <w:noProof/>
        <w:sz w:val="16"/>
        <w:szCs w:val="16"/>
      </w:rPr>
      <w:t>Zilbrysq</w:t>
    </w:r>
    <w:r w:rsidR="00E83598">
      <w:rPr>
        <w:rFonts w:cs="Arial"/>
        <w:noProof/>
        <w:snapToGrid w:val="0"/>
        <w:color w:val="000000"/>
        <w:sz w:val="16"/>
        <w:szCs w:val="16"/>
      </w:rPr>
      <w:t xml:space="preserve"> SGM 6223-A</w:t>
    </w:r>
    <w:r w:rsidR="00E83598" w:rsidRPr="002407DF">
      <w:rPr>
        <w:rFonts w:cs="Arial"/>
        <w:noProof/>
        <w:sz w:val="16"/>
        <w:szCs w:val="16"/>
      </w:rPr>
      <w:t xml:space="preserve"> </w:t>
    </w:r>
    <w:r w:rsidR="000243D6">
      <w:rPr>
        <w:rFonts w:cs="Arial"/>
        <w:noProof/>
        <w:sz w:val="16"/>
        <w:szCs w:val="16"/>
      </w:rPr>
      <w:t>P</w:t>
    </w:r>
    <w:r w:rsidR="00E83598" w:rsidRPr="002407DF">
      <w:rPr>
        <w:rFonts w:cs="Arial"/>
        <w:noProof/>
        <w:sz w:val="16"/>
        <w:szCs w:val="16"/>
      </w:rPr>
      <w:t>2024</w:t>
    </w:r>
    <w:r w:rsidR="00E83598">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2024 CVS Caremark. All rights reserved.</w:t>
    </w:r>
  </w:p>
  <w:p w14:paraId="7E742E78" w14:textId="3802712C" w:rsidR="00442BC5" w:rsidRPr="0091076D" w:rsidRDefault="00442BC5"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EB49E19" w14:textId="0D3F2E0E" w:rsidR="00442BC5" w:rsidRPr="0091076D" w:rsidRDefault="00442BC5" w:rsidP="002407DF">
    <w:pPr>
      <w:autoSpaceDE w:val="0"/>
      <w:autoSpaceDN w:val="0"/>
      <w:adjustRightInd w:val="0"/>
      <w:jc w:val="center"/>
      <w:rPr>
        <w:sz w:val="16"/>
        <w:szCs w:val="16"/>
      </w:rPr>
    </w:pPr>
    <w:r w:rsidRPr="0091076D">
      <w:rPr>
        <w:rFonts w:cs="Arial"/>
        <w:sz w:val="16"/>
        <w:szCs w:val="16"/>
      </w:rPr>
      <w:fldChar w:fldCharType="begin"/>
    </w:r>
    <w:r w:rsidRPr="0091076D">
      <w:rPr>
        <w:rFonts w:cs="Arial"/>
        <w:sz w:val="16"/>
        <w:szCs w:val="16"/>
      </w:rPr>
      <w:instrText xml:space="preserve"> PAGE </w:instrText>
    </w:r>
    <w:r w:rsidRPr="0091076D">
      <w:rPr>
        <w:rFonts w:cs="Arial"/>
        <w:sz w:val="16"/>
        <w:szCs w:val="16"/>
      </w:rPr>
      <w:fldChar w:fldCharType="separate"/>
    </w:r>
    <w:r w:rsidRPr="0091076D">
      <w:rPr>
        <w:rFonts w:cs="Arial"/>
        <w:sz w:val="16"/>
        <w:szCs w:val="16"/>
      </w:rPr>
      <w:t>8</w:t>
    </w:r>
    <w:r w:rsidRPr="0091076D">
      <w:rPr>
        <w:rFonts w:cs="Arial"/>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D1674" w14:textId="03CB438C" w:rsidR="000F5383" w:rsidRPr="00F50D98" w:rsidRDefault="000F5383" w:rsidP="00F50D98">
    <w:pPr>
      <w:tabs>
        <w:tab w:val="right" w:pos="10710"/>
      </w:tabs>
      <w:jc w:val="right"/>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8FC135" w14:textId="77777777" w:rsidR="00E12062" w:rsidRDefault="00E12062">
      <w:r>
        <w:separator/>
      </w:r>
    </w:p>
  </w:footnote>
  <w:footnote w:type="continuationSeparator" w:id="0">
    <w:p w14:paraId="667E5B82" w14:textId="77777777" w:rsidR="00E12062" w:rsidRDefault="00E12062">
      <w:r>
        <w:continuationSeparator/>
      </w:r>
    </w:p>
  </w:footnote>
  <w:footnote w:type="continuationNotice" w:id="1">
    <w:p w14:paraId="6ED877E8" w14:textId="77777777" w:rsidR="00E12062" w:rsidRDefault="00E120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0768ED" w14:paraId="16262E63" w14:textId="77777777" w:rsidTr="0006569F">
      <w:trPr>
        <w:trHeight w:val="144"/>
        <w:jc w:val="right"/>
      </w:trPr>
      <w:tc>
        <w:tcPr>
          <w:tcW w:w="1854" w:type="dxa"/>
          <w:hideMark/>
        </w:tcPr>
        <w:p w14:paraId="18F550B7" w14:textId="77777777" w:rsidR="00ED04EC" w:rsidRPr="000768ED" w:rsidRDefault="00ED04EC" w:rsidP="00ED04EC">
          <w:pPr>
            <w:pStyle w:val="Header"/>
            <w:rPr>
              <w:rFonts w:cs="Arial"/>
              <w:sz w:val="16"/>
              <w:szCs w:val="16"/>
            </w:rPr>
          </w:pPr>
          <w:r w:rsidRPr="000768ED">
            <w:rPr>
              <w:rFonts w:cs="Arial"/>
              <w:sz w:val="16"/>
              <w:szCs w:val="16"/>
            </w:rPr>
            <w:t>Reference number(s)</w:t>
          </w:r>
        </w:p>
      </w:tc>
    </w:tr>
    <w:tr w:rsidR="00ED04EC" w:rsidRPr="000768ED" w14:paraId="703C6588" w14:textId="77777777" w:rsidTr="0006569F">
      <w:trPr>
        <w:trHeight w:val="378"/>
        <w:jc w:val="right"/>
      </w:trPr>
      <w:tc>
        <w:tcPr>
          <w:tcW w:w="1854" w:type="dxa"/>
          <w:hideMark/>
        </w:tcPr>
        <w:p w14:paraId="51CE3E64" w14:textId="614293BD" w:rsidR="00ED04EC" w:rsidRPr="000768ED" w:rsidRDefault="00AE74FC" w:rsidP="00ED04EC">
          <w:pPr>
            <w:pStyle w:val="Header"/>
            <w:rPr>
              <w:rFonts w:cs="Arial"/>
              <w:sz w:val="16"/>
              <w:szCs w:val="16"/>
            </w:rPr>
          </w:pPr>
          <w:r w:rsidRPr="000768ED">
            <w:rPr>
              <w:rFonts w:cs="Arial"/>
              <w:sz w:val="16"/>
              <w:szCs w:val="16"/>
            </w:rPr>
            <w:t>6223-A</w:t>
          </w:r>
        </w:p>
      </w:tc>
    </w:tr>
  </w:tbl>
  <w:p w14:paraId="0D5ACCC2" w14:textId="462A1075" w:rsidR="00ED04EC" w:rsidRPr="000768ED" w:rsidRDefault="00ED04EC" w:rsidP="00B02279">
    <w:pPr>
      <w:pStyle w:val="Header"/>
      <w:rPr>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0F5383" w:rsidRPr="00ED04EC" w14:paraId="7F49A57F" w14:textId="77777777" w:rsidTr="00551DCD">
      <w:trPr>
        <w:trHeight w:val="144"/>
        <w:jc w:val="right"/>
      </w:trPr>
      <w:tc>
        <w:tcPr>
          <w:tcW w:w="1854" w:type="dxa"/>
          <w:hideMark/>
        </w:tcPr>
        <w:p w14:paraId="4ADC44D6" w14:textId="77777777" w:rsidR="000F5383" w:rsidRPr="004159B2" w:rsidRDefault="000F5383" w:rsidP="009E1F57">
          <w:pPr>
            <w:pStyle w:val="RefTableData"/>
          </w:pPr>
          <w:r w:rsidRPr="004159B2">
            <w:t>Reference number(s)</w:t>
          </w:r>
        </w:p>
      </w:tc>
    </w:tr>
    <w:tr w:rsidR="000F5383" w:rsidRPr="00ED04EC" w14:paraId="2259874D" w14:textId="77777777" w:rsidTr="00551DCD">
      <w:trPr>
        <w:trHeight w:val="378"/>
        <w:jc w:val="right"/>
      </w:trPr>
      <w:tc>
        <w:tcPr>
          <w:tcW w:w="1854" w:type="dxa"/>
          <w:hideMark/>
        </w:tcPr>
        <w:p w14:paraId="475EFE95" w14:textId="77D80176" w:rsidR="000F5383" w:rsidRPr="00FF66BF" w:rsidRDefault="00AE74FC" w:rsidP="009E1F57">
          <w:pPr>
            <w:pStyle w:val="RefTableHeader"/>
          </w:pPr>
          <w:r>
            <w:t>6223-A</w:t>
          </w:r>
        </w:p>
      </w:tc>
    </w:tr>
  </w:tbl>
  <w:p w14:paraId="5ACB788B" w14:textId="77777777" w:rsidR="000F5383" w:rsidRPr="000F5383" w:rsidRDefault="000F5383">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5964278"/>
    <w:multiLevelType w:val="hybridMultilevel"/>
    <w:tmpl w:val="6AB06E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68D4676"/>
    <w:multiLevelType w:val="hybridMultilevel"/>
    <w:tmpl w:val="DDDAB3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2C801DC"/>
    <w:multiLevelType w:val="hybridMultilevel"/>
    <w:tmpl w:val="036E0860"/>
    <w:lvl w:ilvl="0" w:tplc="9B1E5ECE">
      <w:start w:val="1"/>
      <w:numFmt w:val="upperLetter"/>
      <w:pStyle w:val="ReferenceInternal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3E02458"/>
    <w:multiLevelType w:val="hybridMultilevel"/>
    <w:tmpl w:val="F09EA57A"/>
    <w:lvl w:ilvl="0" w:tplc="FFFFFFFF">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50477E9"/>
    <w:multiLevelType w:val="hybridMultilevel"/>
    <w:tmpl w:val="DD768FDE"/>
    <w:lvl w:ilvl="0" w:tplc="FFFFFFFF">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B007A14"/>
    <w:multiLevelType w:val="hybridMultilevel"/>
    <w:tmpl w:val="D87214FC"/>
    <w:lvl w:ilvl="0" w:tplc="FFFFFFFF">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C2F773B"/>
    <w:multiLevelType w:val="hybridMultilevel"/>
    <w:tmpl w:val="AF329F9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390051"/>
    <w:multiLevelType w:val="hybridMultilevel"/>
    <w:tmpl w:val="040C7E44"/>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1"/>
  </w:num>
  <w:num w:numId="2" w16cid:durableId="606935877">
    <w:abstractNumId w:val="30"/>
  </w:num>
  <w:num w:numId="3" w16cid:durableId="611589570">
    <w:abstractNumId w:val="26"/>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2"/>
  </w:num>
  <w:num w:numId="15" w16cid:durableId="616722934">
    <w:abstractNumId w:val="10"/>
  </w:num>
  <w:num w:numId="16" w16cid:durableId="898320195">
    <w:abstractNumId w:val="19"/>
  </w:num>
  <w:num w:numId="17" w16cid:durableId="2128498676">
    <w:abstractNumId w:val="33"/>
  </w:num>
  <w:num w:numId="18" w16cid:durableId="299724409">
    <w:abstractNumId w:val="27"/>
  </w:num>
  <w:num w:numId="19" w16cid:durableId="214585573">
    <w:abstractNumId w:val="15"/>
  </w:num>
  <w:num w:numId="20" w16cid:durableId="1289816170">
    <w:abstractNumId w:val="16"/>
  </w:num>
  <w:num w:numId="21" w16cid:durableId="1066490929">
    <w:abstractNumId w:val="34"/>
  </w:num>
  <w:num w:numId="22" w16cid:durableId="1472481103">
    <w:abstractNumId w:val="29"/>
  </w:num>
  <w:num w:numId="23" w16cid:durableId="1997420403">
    <w:abstractNumId w:val="31"/>
  </w:num>
  <w:num w:numId="24" w16cid:durableId="33312838">
    <w:abstractNumId w:val="28"/>
  </w:num>
  <w:num w:numId="25" w16cid:durableId="507404939">
    <w:abstractNumId w:val="18"/>
  </w:num>
  <w:num w:numId="26" w16cid:durableId="1950313333">
    <w:abstractNumId w:val="23"/>
  </w:num>
  <w:num w:numId="27" w16cid:durableId="1866016584">
    <w:abstractNumId w:val="20"/>
  </w:num>
  <w:num w:numId="28" w16cid:durableId="1610048368">
    <w:abstractNumId w:val="13"/>
  </w:num>
  <w:num w:numId="29" w16cid:durableId="196352207">
    <w:abstractNumId w:val="21"/>
  </w:num>
  <w:num w:numId="30" w16cid:durableId="631710282">
    <w:abstractNumId w:val="14"/>
  </w:num>
  <w:num w:numId="31" w16cid:durableId="2128960337">
    <w:abstractNumId w:val="22"/>
  </w:num>
  <w:num w:numId="32" w16cid:durableId="1718747891">
    <w:abstractNumId w:val="25"/>
  </w:num>
  <w:num w:numId="33" w16cid:durableId="1489205702">
    <w:abstractNumId w:val="32"/>
  </w:num>
  <w:num w:numId="34" w16cid:durableId="888422643">
    <w:abstractNumId w:val="24"/>
  </w:num>
  <w:num w:numId="35" w16cid:durableId="2073263586">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3D6"/>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226E"/>
    <w:rsid w:val="000425B0"/>
    <w:rsid w:val="00043056"/>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65E"/>
    <w:rsid w:val="00067732"/>
    <w:rsid w:val="0006774C"/>
    <w:rsid w:val="00070758"/>
    <w:rsid w:val="00070C48"/>
    <w:rsid w:val="000717F6"/>
    <w:rsid w:val="00071A7F"/>
    <w:rsid w:val="0007286F"/>
    <w:rsid w:val="000749E4"/>
    <w:rsid w:val="00074BFE"/>
    <w:rsid w:val="000755C3"/>
    <w:rsid w:val="00075C18"/>
    <w:rsid w:val="000760A2"/>
    <w:rsid w:val="000760F2"/>
    <w:rsid w:val="000767AE"/>
    <w:rsid w:val="000768ED"/>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D51"/>
    <w:rsid w:val="000B0F9D"/>
    <w:rsid w:val="000B104D"/>
    <w:rsid w:val="000B1961"/>
    <w:rsid w:val="000B20CD"/>
    <w:rsid w:val="000B40A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5A6F"/>
    <w:rsid w:val="000C625F"/>
    <w:rsid w:val="000C6C34"/>
    <w:rsid w:val="000C6FAA"/>
    <w:rsid w:val="000C7000"/>
    <w:rsid w:val="000C78EA"/>
    <w:rsid w:val="000C7B51"/>
    <w:rsid w:val="000C7EA2"/>
    <w:rsid w:val="000D0438"/>
    <w:rsid w:val="000D04AF"/>
    <w:rsid w:val="000D1463"/>
    <w:rsid w:val="000D19C4"/>
    <w:rsid w:val="000D1D17"/>
    <w:rsid w:val="000D2496"/>
    <w:rsid w:val="000D24FD"/>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DD4"/>
    <w:rsid w:val="000E65C5"/>
    <w:rsid w:val="000E6D53"/>
    <w:rsid w:val="000E7263"/>
    <w:rsid w:val="000E7B01"/>
    <w:rsid w:val="000E7C60"/>
    <w:rsid w:val="000F0AC9"/>
    <w:rsid w:val="000F1039"/>
    <w:rsid w:val="000F1FBC"/>
    <w:rsid w:val="000F2A45"/>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B0F"/>
    <w:rsid w:val="00154E30"/>
    <w:rsid w:val="00155A51"/>
    <w:rsid w:val="001560C4"/>
    <w:rsid w:val="00156A50"/>
    <w:rsid w:val="00156B77"/>
    <w:rsid w:val="00156E31"/>
    <w:rsid w:val="00160472"/>
    <w:rsid w:val="00162951"/>
    <w:rsid w:val="001630B4"/>
    <w:rsid w:val="00165258"/>
    <w:rsid w:val="00165670"/>
    <w:rsid w:val="00165A99"/>
    <w:rsid w:val="001675AA"/>
    <w:rsid w:val="00170325"/>
    <w:rsid w:val="00173AB9"/>
    <w:rsid w:val="001747DB"/>
    <w:rsid w:val="00174F3B"/>
    <w:rsid w:val="00175B12"/>
    <w:rsid w:val="00175F8E"/>
    <w:rsid w:val="00176167"/>
    <w:rsid w:val="00176A70"/>
    <w:rsid w:val="0017701E"/>
    <w:rsid w:val="00177020"/>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A0E7C"/>
    <w:rsid w:val="001A2781"/>
    <w:rsid w:val="001A2987"/>
    <w:rsid w:val="001A320A"/>
    <w:rsid w:val="001A33ED"/>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7DF"/>
    <w:rsid w:val="00240C70"/>
    <w:rsid w:val="0024185D"/>
    <w:rsid w:val="002423DE"/>
    <w:rsid w:val="00242E29"/>
    <w:rsid w:val="00242F54"/>
    <w:rsid w:val="00243017"/>
    <w:rsid w:val="0024305D"/>
    <w:rsid w:val="00244442"/>
    <w:rsid w:val="0024498F"/>
    <w:rsid w:val="00245B93"/>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5EB"/>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DB"/>
    <w:rsid w:val="00277791"/>
    <w:rsid w:val="002777DF"/>
    <w:rsid w:val="002807CC"/>
    <w:rsid w:val="00280C69"/>
    <w:rsid w:val="00280EC5"/>
    <w:rsid w:val="00281A75"/>
    <w:rsid w:val="00281F6C"/>
    <w:rsid w:val="0028234F"/>
    <w:rsid w:val="0028452B"/>
    <w:rsid w:val="00284D74"/>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FA8"/>
    <w:rsid w:val="002F311C"/>
    <w:rsid w:val="002F335A"/>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A0693"/>
    <w:rsid w:val="003A2056"/>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7DE9"/>
    <w:rsid w:val="003C1EA0"/>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8D8"/>
    <w:rsid w:val="003E3201"/>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209A"/>
    <w:rsid w:val="0042222E"/>
    <w:rsid w:val="00422416"/>
    <w:rsid w:val="004226CD"/>
    <w:rsid w:val="00422766"/>
    <w:rsid w:val="004236F4"/>
    <w:rsid w:val="00423C96"/>
    <w:rsid w:val="00425453"/>
    <w:rsid w:val="004260D4"/>
    <w:rsid w:val="004260DE"/>
    <w:rsid w:val="0042761F"/>
    <w:rsid w:val="00427B15"/>
    <w:rsid w:val="00430B2F"/>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2BC5"/>
    <w:rsid w:val="0044300A"/>
    <w:rsid w:val="004438A7"/>
    <w:rsid w:val="00444336"/>
    <w:rsid w:val="00444A6A"/>
    <w:rsid w:val="0044563B"/>
    <w:rsid w:val="00445F97"/>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E69"/>
    <w:rsid w:val="004C7F1D"/>
    <w:rsid w:val="004D0231"/>
    <w:rsid w:val="004D066D"/>
    <w:rsid w:val="004D1409"/>
    <w:rsid w:val="004D1852"/>
    <w:rsid w:val="004D1AAF"/>
    <w:rsid w:val="004D24E3"/>
    <w:rsid w:val="004D25DC"/>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5A10"/>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3ED"/>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552"/>
    <w:rsid w:val="00547DC8"/>
    <w:rsid w:val="00552A6C"/>
    <w:rsid w:val="00552AD2"/>
    <w:rsid w:val="005539ED"/>
    <w:rsid w:val="00553C00"/>
    <w:rsid w:val="00554C8D"/>
    <w:rsid w:val="005553FE"/>
    <w:rsid w:val="005555FB"/>
    <w:rsid w:val="00556A6F"/>
    <w:rsid w:val="0055710E"/>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52C4"/>
    <w:rsid w:val="005C026B"/>
    <w:rsid w:val="005C194C"/>
    <w:rsid w:val="005C2667"/>
    <w:rsid w:val="005C295A"/>
    <w:rsid w:val="005C2C21"/>
    <w:rsid w:val="005C3B4F"/>
    <w:rsid w:val="005C44D1"/>
    <w:rsid w:val="005C52A6"/>
    <w:rsid w:val="005C6812"/>
    <w:rsid w:val="005C6D2C"/>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1F83"/>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9A7"/>
    <w:rsid w:val="006913AD"/>
    <w:rsid w:val="006917AF"/>
    <w:rsid w:val="006919C1"/>
    <w:rsid w:val="0069283D"/>
    <w:rsid w:val="00692A50"/>
    <w:rsid w:val="00693B34"/>
    <w:rsid w:val="00694B18"/>
    <w:rsid w:val="00694B30"/>
    <w:rsid w:val="00694B8A"/>
    <w:rsid w:val="00694C2D"/>
    <w:rsid w:val="00696693"/>
    <w:rsid w:val="00697304"/>
    <w:rsid w:val="006A1D42"/>
    <w:rsid w:val="006A29D6"/>
    <w:rsid w:val="006A2EC3"/>
    <w:rsid w:val="006A37C9"/>
    <w:rsid w:val="006A3CFD"/>
    <w:rsid w:val="006A3F40"/>
    <w:rsid w:val="006A790B"/>
    <w:rsid w:val="006A7B7D"/>
    <w:rsid w:val="006B01F7"/>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341B"/>
    <w:rsid w:val="006D3542"/>
    <w:rsid w:val="006D4EA6"/>
    <w:rsid w:val="006D618E"/>
    <w:rsid w:val="006D62DA"/>
    <w:rsid w:val="006D662E"/>
    <w:rsid w:val="006D66E8"/>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752"/>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417D"/>
    <w:rsid w:val="00765BBE"/>
    <w:rsid w:val="00766061"/>
    <w:rsid w:val="007704F3"/>
    <w:rsid w:val="007710F2"/>
    <w:rsid w:val="007716E9"/>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C7653"/>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5BA5"/>
    <w:rsid w:val="007F6891"/>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4FA8"/>
    <w:rsid w:val="008254BC"/>
    <w:rsid w:val="00826FDC"/>
    <w:rsid w:val="008308BE"/>
    <w:rsid w:val="00830CE5"/>
    <w:rsid w:val="008313C2"/>
    <w:rsid w:val="00832520"/>
    <w:rsid w:val="00832E80"/>
    <w:rsid w:val="00832EB5"/>
    <w:rsid w:val="00832F22"/>
    <w:rsid w:val="0083565A"/>
    <w:rsid w:val="00835A0B"/>
    <w:rsid w:val="008367C3"/>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F59"/>
    <w:rsid w:val="008F640B"/>
    <w:rsid w:val="008F79F2"/>
    <w:rsid w:val="008F7B57"/>
    <w:rsid w:val="0090242B"/>
    <w:rsid w:val="00903866"/>
    <w:rsid w:val="009050C0"/>
    <w:rsid w:val="0090528C"/>
    <w:rsid w:val="00905466"/>
    <w:rsid w:val="00905918"/>
    <w:rsid w:val="00905D51"/>
    <w:rsid w:val="00905F65"/>
    <w:rsid w:val="00906ED2"/>
    <w:rsid w:val="00907301"/>
    <w:rsid w:val="00907D99"/>
    <w:rsid w:val="00910119"/>
    <w:rsid w:val="0091015A"/>
    <w:rsid w:val="0091076D"/>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3E1"/>
    <w:rsid w:val="009324A8"/>
    <w:rsid w:val="00932532"/>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6F6"/>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5A6D"/>
    <w:rsid w:val="00995DAD"/>
    <w:rsid w:val="00995F4D"/>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F0845"/>
    <w:rsid w:val="009F1461"/>
    <w:rsid w:val="009F1EDE"/>
    <w:rsid w:val="009F2CEE"/>
    <w:rsid w:val="009F2EF1"/>
    <w:rsid w:val="009F3F1F"/>
    <w:rsid w:val="009F426B"/>
    <w:rsid w:val="009F48F4"/>
    <w:rsid w:val="009F4ACC"/>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87B"/>
    <w:rsid w:val="00A06974"/>
    <w:rsid w:val="00A073B1"/>
    <w:rsid w:val="00A07888"/>
    <w:rsid w:val="00A07A81"/>
    <w:rsid w:val="00A10362"/>
    <w:rsid w:val="00A11268"/>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509"/>
    <w:rsid w:val="00A82DDB"/>
    <w:rsid w:val="00A83FA7"/>
    <w:rsid w:val="00A84AD9"/>
    <w:rsid w:val="00A84CB5"/>
    <w:rsid w:val="00A85D18"/>
    <w:rsid w:val="00A8608E"/>
    <w:rsid w:val="00A86211"/>
    <w:rsid w:val="00A87B90"/>
    <w:rsid w:val="00A87BF7"/>
    <w:rsid w:val="00A9069E"/>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1ACC"/>
    <w:rsid w:val="00AC2252"/>
    <w:rsid w:val="00AC2831"/>
    <w:rsid w:val="00AC2C91"/>
    <w:rsid w:val="00AC2FF1"/>
    <w:rsid w:val="00AC3092"/>
    <w:rsid w:val="00AC319E"/>
    <w:rsid w:val="00AC3729"/>
    <w:rsid w:val="00AC3ACD"/>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4EE"/>
    <w:rsid w:val="00AE74FC"/>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5A2E"/>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0EA"/>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0B8"/>
    <w:rsid w:val="00B94445"/>
    <w:rsid w:val="00B9493B"/>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604"/>
    <w:rsid w:val="00BB379D"/>
    <w:rsid w:val="00BB3F6D"/>
    <w:rsid w:val="00BB4131"/>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E54"/>
    <w:rsid w:val="00BD5061"/>
    <w:rsid w:val="00BD589A"/>
    <w:rsid w:val="00BD5D53"/>
    <w:rsid w:val="00BD672B"/>
    <w:rsid w:val="00BD6ED4"/>
    <w:rsid w:val="00BE0818"/>
    <w:rsid w:val="00BE1277"/>
    <w:rsid w:val="00BE181E"/>
    <w:rsid w:val="00BE1A32"/>
    <w:rsid w:val="00BE23F2"/>
    <w:rsid w:val="00BE2659"/>
    <w:rsid w:val="00BE2E87"/>
    <w:rsid w:val="00BE38A5"/>
    <w:rsid w:val="00BE3B53"/>
    <w:rsid w:val="00BE3BC7"/>
    <w:rsid w:val="00BE4562"/>
    <w:rsid w:val="00BE5586"/>
    <w:rsid w:val="00BE5599"/>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100F8"/>
    <w:rsid w:val="00C103C4"/>
    <w:rsid w:val="00C11959"/>
    <w:rsid w:val="00C12A64"/>
    <w:rsid w:val="00C1305C"/>
    <w:rsid w:val="00C132E2"/>
    <w:rsid w:val="00C13981"/>
    <w:rsid w:val="00C13B83"/>
    <w:rsid w:val="00C13C5D"/>
    <w:rsid w:val="00C13C9B"/>
    <w:rsid w:val="00C13D90"/>
    <w:rsid w:val="00C147CB"/>
    <w:rsid w:val="00C14998"/>
    <w:rsid w:val="00C14AE0"/>
    <w:rsid w:val="00C14D20"/>
    <w:rsid w:val="00C15E25"/>
    <w:rsid w:val="00C168A4"/>
    <w:rsid w:val="00C168D7"/>
    <w:rsid w:val="00C1728D"/>
    <w:rsid w:val="00C1768D"/>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A40"/>
    <w:rsid w:val="00C77D90"/>
    <w:rsid w:val="00C808F0"/>
    <w:rsid w:val="00C809E5"/>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A0D"/>
    <w:rsid w:val="00CE71E6"/>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BE1"/>
    <w:rsid w:val="00D20446"/>
    <w:rsid w:val="00D20EFA"/>
    <w:rsid w:val="00D2121B"/>
    <w:rsid w:val="00D215BF"/>
    <w:rsid w:val="00D21D0C"/>
    <w:rsid w:val="00D2332E"/>
    <w:rsid w:val="00D24201"/>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23C"/>
    <w:rsid w:val="00DC693A"/>
    <w:rsid w:val="00DC7B0D"/>
    <w:rsid w:val="00DC7CBE"/>
    <w:rsid w:val="00DD11EC"/>
    <w:rsid w:val="00DD1A9A"/>
    <w:rsid w:val="00DD1F42"/>
    <w:rsid w:val="00DD23B6"/>
    <w:rsid w:val="00DD34C0"/>
    <w:rsid w:val="00DD4EA3"/>
    <w:rsid w:val="00DD5193"/>
    <w:rsid w:val="00DD5970"/>
    <w:rsid w:val="00DD6F65"/>
    <w:rsid w:val="00DD70A3"/>
    <w:rsid w:val="00DE02C1"/>
    <w:rsid w:val="00DE1C7E"/>
    <w:rsid w:val="00DE1E23"/>
    <w:rsid w:val="00DE219D"/>
    <w:rsid w:val="00DE23E7"/>
    <w:rsid w:val="00DE2E13"/>
    <w:rsid w:val="00DE3856"/>
    <w:rsid w:val="00DE415E"/>
    <w:rsid w:val="00DE534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062"/>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4271"/>
    <w:rsid w:val="00E5515A"/>
    <w:rsid w:val="00E552B0"/>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67"/>
    <w:rsid w:val="00E80258"/>
    <w:rsid w:val="00E80D56"/>
    <w:rsid w:val="00E80FD3"/>
    <w:rsid w:val="00E81137"/>
    <w:rsid w:val="00E814AF"/>
    <w:rsid w:val="00E821AE"/>
    <w:rsid w:val="00E82475"/>
    <w:rsid w:val="00E82ABA"/>
    <w:rsid w:val="00E83598"/>
    <w:rsid w:val="00E83A86"/>
    <w:rsid w:val="00E850F3"/>
    <w:rsid w:val="00E8686D"/>
    <w:rsid w:val="00E86A27"/>
    <w:rsid w:val="00E87749"/>
    <w:rsid w:val="00E87B42"/>
    <w:rsid w:val="00E87C7C"/>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1995"/>
    <w:rsid w:val="00F21B41"/>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5974"/>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C81"/>
    <w:rsid w:val="00F760BB"/>
    <w:rsid w:val="00F76A97"/>
    <w:rsid w:val="00F77CFC"/>
    <w:rsid w:val="00F803E8"/>
    <w:rsid w:val="00F810F2"/>
    <w:rsid w:val="00F81192"/>
    <w:rsid w:val="00F81513"/>
    <w:rsid w:val="00F81D51"/>
    <w:rsid w:val="00F82083"/>
    <w:rsid w:val="00F82179"/>
    <w:rsid w:val="00F826EA"/>
    <w:rsid w:val="00F83AB3"/>
    <w:rsid w:val="00F83FE6"/>
    <w:rsid w:val="00F859EC"/>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572C"/>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681"/>
    <w:rsid w:val="00FA5A41"/>
    <w:rsid w:val="00FA63DF"/>
    <w:rsid w:val="00FA6754"/>
    <w:rsid w:val="00FA6A60"/>
    <w:rsid w:val="00FA6ECF"/>
    <w:rsid w:val="00FA74FF"/>
    <w:rsid w:val="00FA7AA6"/>
    <w:rsid w:val="00FA7C01"/>
    <w:rsid w:val="00FA7C9C"/>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C78DB"/>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57F"/>
    <w:rsid w:val="00FE06ED"/>
    <w:rsid w:val="00FE0C63"/>
    <w:rsid w:val="00FE2763"/>
    <w:rsid w:val="00FE2E74"/>
    <w:rsid w:val="00FE3153"/>
    <w:rsid w:val="00FE3327"/>
    <w:rsid w:val="00FE357C"/>
    <w:rsid w:val="00FE3FB8"/>
    <w:rsid w:val="00FE41B8"/>
    <w:rsid w:val="00FE4729"/>
    <w:rsid w:val="00FE4ABC"/>
    <w:rsid w:val="00FE4D3E"/>
    <w:rsid w:val="00FE4F0E"/>
    <w:rsid w:val="00FE6BAD"/>
    <w:rsid w:val="00FE78A7"/>
    <w:rsid w:val="00FE7C80"/>
    <w:rsid w:val="00FF2F94"/>
    <w:rsid w:val="00FF35C5"/>
    <w:rsid w:val="00FF37B2"/>
    <w:rsid w:val="00FF530E"/>
    <w:rsid w:val="00FF5C3C"/>
    <w:rsid w:val="00FF66BF"/>
    <w:rsid w:val="00FF7695"/>
    <w:rsid w:val="29729D5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3BC982E7-B7A5-45DD-988E-E4A6C89376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 w:type="paragraph" w:customStyle="1" w:styleId="ReferenceInternalOrdered">
    <w:name w:val="Reference Internal Ordered"/>
    <w:basedOn w:val="ReferenceOrdered"/>
    <w:rsid w:val="007C7653"/>
    <w:pPr>
      <w:numPr>
        <w:numId w:val="35"/>
      </w:numPr>
      <w:ind w:left="3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61493149">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573007561">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287666543">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864710861">
              <w:marLeft w:val="0"/>
              <w:marRight w:val="0"/>
              <w:marTop w:val="0"/>
              <w:marBottom w:val="0"/>
              <w:divBdr>
                <w:top w:val="none" w:sz="0" w:space="0" w:color="auto"/>
                <w:left w:val="none" w:sz="0" w:space="0" w:color="auto"/>
                <w:bottom w:val="none" w:sz="0" w:space="0" w:color="auto"/>
                <w:right w:val="none" w:sz="0" w:space="0" w:color="auto"/>
              </w:divBdr>
            </w:div>
            <w:div w:id="1516581089">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322895968">
      <w:bodyDiv w:val="1"/>
      <w:marLeft w:val="0"/>
      <w:marRight w:val="0"/>
      <w:marTop w:val="0"/>
      <w:marBottom w:val="0"/>
      <w:divBdr>
        <w:top w:val="none" w:sz="0" w:space="0" w:color="auto"/>
        <w:left w:val="none" w:sz="0" w:space="0" w:color="auto"/>
        <w:bottom w:val="none" w:sz="0" w:space="0" w:color="auto"/>
        <w:right w:val="none" w:sz="0" w:space="0" w:color="auto"/>
      </w:divBdr>
      <w:divsChild>
        <w:div w:id="874734638">
          <w:marLeft w:val="0"/>
          <w:marRight w:val="0"/>
          <w:marTop w:val="0"/>
          <w:marBottom w:val="0"/>
          <w:divBdr>
            <w:top w:val="none" w:sz="0" w:space="0" w:color="auto"/>
            <w:left w:val="none" w:sz="0" w:space="0" w:color="auto"/>
            <w:bottom w:val="none" w:sz="0" w:space="0" w:color="auto"/>
            <w:right w:val="none" w:sz="0" w:space="0" w:color="auto"/>
          </w:divBdr>
        </w:div>
        <w:div w:id="1619725546">
          <w:marLeft w:val="0"/>
          <w:marRight w:val="0"/>
          <w:marTop w:val="0"/>
          <w:marBottom w:val="0"/>
          <w:divBdr>
            <w:top w:val="none" w:sz="0" w:space="0" w:color="auto"/>
            <w:left w:val="none" w:sz="0" w:space="0" w:color="auto"/>
            <w:bottom w:val="none" w:sz="0" w:space="0" w:color="auto"/>
            <w:right w:val="none" w:sz="0" w:space="0" w:color="auto"/>
          </w:divBdr>
        </w:div>
        <w:div w:id="2114276587">
          <w:marLeft w:val="0"/>
          <w:marRight w:val="0"/>
          <w:marTop w:val="0"/>
          <w:marBottom w:val="0"/>
          <w:divBdr>
            <w:top w:val="none" w:sz="0" w:space="0" w:color="auto"/>
            <w:left w:val="none" w:sz="0" w:space="0" w:color="auto"/>
            <w:bottom w:val="none" w:sz="0" w:space="0" w:color="auto"/>
            <w:right w:val="none" w:sz="0" w:space="0" w:color="auto"/>
          </w:divBdr>
        </w:div>
        <w:div w:id="1239293597">
          <w:marLeft w:val="0"/>
          <w:marRight w:val="0"/>
          <w:marTop w:val="0"/>
          <w:marBottom w:val="0"/>
          <w:divBdr>
            <w:top w:val="none" w:sz="0" w:space="0" w:color="auto"/>
            <w:left w:val="none" w:sz="0" w:space="0" w:color="auto"/>
            <w:bottom w:val="none" w:sz="0" w:space="0" w:color="auto"/>
            <w:right w:val="none" w:sz="0" w:space="0" w:color="auto"/>
          </w:divBdr>
        </w:div>
        <w:div w:id="1394349066">
          <w:marLeft w:val="0"/>
          <w:marRight w:val="0"/>
          <w:marTop w:val="0"/>
          <w:marBottom w:val="0"/>
          <w:divBdr>
            <w:top w:val="none" w:sz="0" w:space="0" w:color="auto"/>
            <w:left w:val="none" w:sz="0" w:space="0" w:color="auto"/>
            <w:bottom w:val="none" w:sz="0" w:space="0" w:color="auto"/>
            <w:right w:val="none" w:sz="0" w:space="0" w:color="auto"/>
          </w:divBdr>
        </w:div>
        <w:div w:id="1863282436">
          <w:marLeft w:val="0"/>
          <w:marRight w:val="0"/>
          <w:marTop w:val="0"/>
          <w:marBottom w:val="0"/>
          <w:divBdr>
            <w:top w:val="none" w:sz="0" w:space="0" w:color="auto"/>
            <w:left w:val="none" w:sz="0" w:space="0" w:color="auto"/>
            <w:bottom w:val="none" w:sz="0" w:space="0" w:color="auto"/>
            <w:right w:val="none" w:sz="0" w:space="0" w:color="auto"/>
          </w:divBdr>
        </w:div>
        <w:div w:id="1786072433">
          <w:marLeft w:val="0"/>
          <w:marRight w:val="0"/>
          <w:marTop w:val="0"/>
          <w:marBottom w:val="0"/>
          <w:divBdr>
            <w:top w:val="none" w:sz="0" w:space="0" w:color="auto"/>
            <w:left w:val="none" w:sz="0" w:space="0" w:color="auto"/>
            <w:bottom w:val="none" w:sz="0" w:space="0" w:color="auto"/>
            <w:right w:val="none" w:sz="0" w:space="0" w:color="auto"/>
          </w:divBdr>
        </w:div>
        <w:div w:id="864446966">
          <w:marLeft w:val="0"/>
          <w:marRight w:val="0"/>
          <w:marTop w:val="0"/>
          <w:marBottom w:val="0"/>
          <w:divBdr>
            <w:top w:val="none" w:sz="0" w:space="0" w:color="auto"/>
            <w:left w:val="none" w:sz="0" w:space="0" w:color="auto"/>
            <w:bottom w:val="none" w:sz="0" w:space="0" w:color="auto"/>
            <w:right w:val="none" w:sz="0" w:space="0" w:color="auto"/>
          </w:divBdr>
        </w:div>
        <w:div w:id="88695352">
          <w:marLeft w:val="0"/>
          <w:marRight w:val="0"/>
          <w:marTop w:val="0"/>
          <w:marBottom w:val="0"/>
          <w:divBdr>
            <w:top w:val="none" w:sz="0" w:space="0" w:color="auto"/>
            <w:left w:val="none" w:sz="0" w:space="0" w:color="auto"/>
            <w:bottom w:val="none" w:sz="0" w:space="0" w:color="auto"/>
            <w:right w:val="none" w:sz="0" w:space="0" w:color="auto"/>
          </w:divBdr>
        </w:div>
      </w:divsChild>
    </w:div>
    <w:div w:id="339509213">
      <w:bodyDiv w:val="1"/>
      <w:marLeft w:val="0"/>
      <w:marRight w:val="0"/>
      <w:marTop w:val="0"/>
      <w:marBottom w:val="0"/>
      <w:divBdr>
        <w:top w:val="none" w:sz="0" w:space="0" w:color="auto"/>
        <w:left w:val="none" w:sz="0" w:space="0" w:color="auto"/>
        <w:bottom w:val="none" w:sz="0" w:space="0" w:color="auto"/>
        <w:right w:val="none" w:sz="0" w:space="0" w:color="auto"/>
      </w:divBdr>
      <w:divsChild>
        <w:div w:id="265188637">
          <w:marLeft w:val="0"/>
          <w:marRight w:val="0"/>
          <w:marTop w:val="0"/>
          <w:marBottom w:val="0"/>
          <w:divBdr>
            <w:top w:val="none" w:sz="0" w:space="0" w:color="auto"/>
            <w:left w:val="none" w:sz="0" w:space="0" w:color="auto"/>
            <w:bottom w:val="none" w:sz="0" w:space="0" w:color="auto"/>
            <w:right w:val="none" w:sz="0" w:space="0" w:color="auto"/>
          </w:divBdr>
        </w:div>
        <w:div w:id="36316991">
          <w:marLeft w:val="0"/>
          <w:marRight w:val="0"/>
          <w:marTop w:val="0"/>
          <w:marBottom w:val="0"/>
          <w:divBdr>
            <w:top w:val="none" w:sz="0" w:space="0" w:color="auto"/>
            <w:left w:val="none" w:sz="0" w:space="0" w:color="auto"/>
            <w:bottom w:val="none" w:sz="0" w:space="0" w:color="auto"/>
            <w:right w:val="none" w:sz="0" w:space="0" w:color="auto"/>
          </w:divBdr>
        </w:div>
        <w:div w:id="916091839">
          <w:marLeft w:val="0"/>
          <w:marRight w:val="0"/>
          <w:marTop w:val="0"/>
          <w:marBottom w:val="0"/>
          <w:divBdr>
            <w:top w:val="none" w:sz="0" w:space="0" w:color="auto"/>
            <w:left w:val="none" w:sz="0" w:space="0" w:color="auto"/>
            <w:bottom w:val="none" w:sz="0" w:space="0" w:color="auto"/>
            <w:right w:val="none" w:sz="0" w:space="0" w:color="auto"/>
          </w:divBdr>
        </w:div>
        <w:div w:id="519585713">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209492983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450975491">
          <w:marLeft w:val="0"/>
          <w:marRight w:val="0"/>
          <w:marTop w:val="0"/>
          <w:marBottom w:val="0"/>
          <w:divBdr>
            <w:top w:val="none" w:sz="0" w:space="0" w:color="auto"/>
            <w:left w:val="none" w:sz="0" w:space="0" w:color="auto"/>
            <w:bottom w:val="none" w:sz="0" w:space="0" w:color="auto"/>
            <w:right w:val="none" w:sz="0" w:space="0" w:color="auto"/>
          </w:divBdr>
        </w:div>
      </w:divsChild>
    </w:div>
    <w:div w:id="1012535845">
      <w:bodyDiv w:val="1"/>
      <w:marLeft w:val="0"/>
      <w:marRight w:val="0"/>
      <w:marTop w:val="0"/>
      <w:marBottom w:val="0"/>
      <w:divBdr>
        <w:top w:val="none" w:sz="0" w:space="0" w:color="auto"/>
        <w:left w:val="none" w:sz="0" w:space="0" w:color="auto"/>
        <w:bottom w:val="none" w:sz="0" w:space="0" w:color="auto"/>
        <w:right w:val="none" w:sz="0" w:space="0" w:color="auto"/>
      </w:divBdr>
      <w:divsChild>
        <w:div w:id="1700470683">
          <w:marLeft w:val="0"/>
          <w:marRight w:val="0"/>
          <w:marTop w:val="0"/>
          <w:marBottom w:val="0"/>
          <w:divBdr>
            <w:top w:val="none" w:sz="0" w:space="0" w:color="auto"/>
            <w:left w:val="none" w:sz="0" w:space="0" w:color="auto"/>
            <w:bottom w:val="none" w:sz="0" w:space="0" w:color="auto"/>
            <w:right w:val="none" w:sz="0" w:space="0" w:color="auto"/>
          </w:divBdr>
        </w:div>
        <w:div w:id="2138714507">
          <w:marLeft w:val="0"/>
          <w:marRight w:val="0"/>
          <w:marTop w:val="0"/>
          <w:marBottom w:val="0"/>
          <w:divBdr>
            <w:top w:val="none" w:sz="0" w:space="0" w:color="auto"/>
            <w:left w:val="none" w:sz="0" w:space="0" w:color="auto"/>
            <w:bottom w:val="none" w:sz="0" w:space="0" w:color="auto"/>
            <w:right w:val="none" w:sz="0" w:space="0" w:color="auto"/>
          </w:divBdr>
        </w:div>
        <w:div w:id="1022634082">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23504289">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F179861-6CBD-40E6-8C67-F5B8AC7F6468}"/>
</file>

<file path=customXml/itemProps2.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3.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4.xml><?xml version="1.0" encoding="utf-8"?>
<ds:datastoreItem xmlns:ds="http://schemas.openxmlformats.org/officeDocument/2006/customXml" ds:itemID="{A243CFE1-08DE-432F-83DD-4933F5F97812}">
  <ds:schemaRefs>
    <ds:schemaRef ds:uri="http://schemas.microsoft.com/office/2006/metadata/properties"/>
    <ds:schemaRef ds:uri="http://schemas.microsoft.com/office/infopath/2007/PartnerControls"/>
    <ds:schemaRef ds:uri="9e5e3151-c0b7-45db-a3fc-693419218584"/>
    <ds:schemaRef ds:uri="140c881a-ad29-41df-bf4a-49828f8e0a8a"/>
    <ds:schemaRef ds:uri="102fadf2-6cae-45bc-95f6-bc2613b98572"/>
    <ds:schemaRef ds:uri="ce173f13-e3a2-4c5f-8c54-d0382ae88016"/>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535</Words>
  <Characters>3051</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Zilbrysq 6223-A SGM 2024</vt:lpstr>
    </vt:vector>
  </TitlesOfParts>
  <Company>PCS Health Systems</Company>
  <LinksUpToDate>false</LinksUpToDate>
  <CharactersWithSpaces>3579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Zilbrysq 6223-A SGM 2024</dc:title>
  <dc:subject/>
  <dc:creator>CVS Caremark</dc:creator>
  <cp:keywords/>
  <cp:lastModifiedBy>Erika Pereira</cp:lastModifiedBy>
  <cp:revision>2</cp:revision>
  <cp:lastPrinted>2024-04-26T11:49:00Z</cp:lastPrinted>
  <dcterms:created xsi:type="dcterms:W3CDTF">2024-12-26T21:31:00Z</dcterms:created>
  <dcterms:modified xsi:type="dcterms:W3CDTF">2024-12-26T21:31:00Z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850200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_SourceUrl">
    <vt:lpwstr/>
  </property>
  <property fmtid="{D5CDD505-2E9C-101B-9397-08002B2CF9AE}" pid="19" name="_SharedFileIndex">
    <vt:lpwstr/>
  </property>
</Properties>
</file>